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C" w:rsidRDefault="00BC6C0C" w:rsidP="00BC6C0C">
      <w:pPr>
        <w:pStyle w:val="1"/>
        <w:spacing w:before="0" w:after="75" w:line="330" w:lineRule="atLeast"/>
        <w:rPr>
          <w:rFonts w:ascii="PT Serif" w:hAnsi="PT Serif"/>
          <w:b w:val="0"/>
          <w:bCs w:val="0"/>
          <w:sz w:val="38"/>
          <w:szCs w:val="38"/>
        </w:rPr>
      </w:pPr>
      <w:r>
        <w:rPr>
          <w:rFonts w:ascii="PT Serif" w:hAnsi="PT Serif"/>
          <w:b w:val="0"/>
          <w:bCs w:val="0"/>
          <w:sz w:val="38"/>
          <w:szCs w:val="38"/>
        </w:rPr>
        <w:t>Приказ Министерства образования и науки Российской Федерации (Минобрнауки России) от 28 декабря 2010 г. N 2106 г. Москва</w:t>
      </w:r>
    </w:p>
    <w:p w:rsidR="00BC6C0C" w:rsidRDefault="00BC6C0C" w:rsidP="00BC6C0C">
      <w:pPr>
        <w:pStyle w:val="2"/>
        <w:spacing w:before="0" w:beforeAutospacing="0" w:after="0" w:afterAutospacing="0" w:line="225" w:lineRule="atLeast"/>
        <w:rPr>
          <w:rFonts w:ascii="PT Serif" w:hAnsi="PT Serif"/>
          <w:b w:val="0"/>
          <w:bCs w:val="0"/>
          <w:sz w:val="23"/>
          <w:szCs w:val="23"/>
        </w:rPr>
      </w:pPr>
      <w:r>
        <w:rPr>
          <w:rFonts w:ascii="PT Serif" w:hAnsi="PT Serif"/>
          <w:b w:val="0"/>
          <w:bCs w:val="0"/>
          <w:sz w:val="23"/>
          <w:szCs w:val="23"/>
        </w:rPr>
        <w:t>"Об утверждении федеральных требований к образовательным учреждениям в части охраны здоровья обучающихся, воспитанников"</w:t>
      </w:r>
      <w:r>
        <w:rPr>
          <w:rStyle w:val="apple-converted-space"/>
          <w:rFonts w:ascii="PT Serif" w:hAnsi="PT Serif"/>
          <w:b w:val="0"/>
          <w:bCs w:val="0"/>
          <w:sz w:val="23"/>
          <w:szCs w:val="23"/>
        </w:rPr>
        <w:t> 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Зарегистрирован в Минюсте РФ 2 февраля 2011 г.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Регистрационный N 19676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</w:t>
      </w:r>
      <w:r>
        <w:rPr>
          <w:rStyle w:val="apple-converted-space"/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b/>
          <w:bCs/>
          <w:color w:val="373737"/>
          <w:sz w:val="21"/>
          <w:szCs w:val="21"/>
        </w:rPr>
        <w:t>приказываю: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Министр А. Фурсенко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  <w:u w:val="single"/>
        </w:rPr>
        <w:t>Приложение</w:t>
      </w:r>
    </w:p>
    <w:p w:rsidR="00BC6C0C" w:rsidRDefault="00BC6C0C" w:rsidP="00BC6C0C">
      <w:pPr>
        <w:pStyle w:val="4"/>
        <w:shd w:val="clear" w:color="auto" w:fill="FFFFFF"/>
        <w:spacing w:before="150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социальные, экономические и экологические условия окружающей действительности;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невосприятием </w:t>
      </w:r>
      <w:r>
        <w:rPr>
          <w:rFonts w:ascii="Arial" w:hAnsi="Arial" w:cs="Arial"/>
          <w:color w:val="373737"/>
          <w:sz w:val="21"/>
          <w:szCs w:val="21"/>
        </w:rPr>
        <w:lastRenderedPageBreak/>
        <w:t>деятельности, связанной с укреплением здоровья и профилактикой его нарушений, как актуальной и значимой.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4. Настоящие Требования включают восемь групп требований: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соответствие инфраструктуры образовательного учреждения условиям здоровьесбережения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рациональная организация образовательного процесса;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организация физкультурно-оздоровительной и спортивно-массовой работы в образовательном учреждении;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6) организация профилактики употребления психоактивных веществ обучающимися, воспитанниками;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8) мониторинг сформированности культуры здорового и безопасного образа жизни обучающихся, воспитанников.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системность деятельности по вопросам здоровьесбережения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 xml:space="preserve">4) комплексный подход в оказании психолого-педагогической,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медико-социальной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поддержки различных групп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непрерывность отслеживания сформированности здорового и безопасного образа жизни обучающихся, воспитанников.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6. Требования к соответствию инфраструктуры образовательного учреждения условиям здоровьесбережения обучающихся, воспитанников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lastRenderedPageBreak/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  <w:proofErr w:type="gramEnd"/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6)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тьюторы);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8) сформированность культуры здоровья педагогических и научно-педагогических работников образовательного учреждения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7. Требования к рациональной организации образовательного процесса содержат: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6) использование в образовательном процессе здоровьесберегающих приемов, методов, форм, технологий;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8)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организацию физкультурно-оздоровительной работы с обучающимися, воспитанниками всех групп здоровья;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познотонического утомления;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lastRenderedPageBreak/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наличие в фонде информационно-библиотечного центра (библиотеки, медиатеки)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здоровьесберегающих технологий.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10. Требования к организации профилактики употребления психоактивных веществ обучающимися, воспитанниками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реализацию превентивных программ, направленных на предотвращение употребления психоактивных веществ (далее - ПАВ) обучающимися, воспитанниками;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</w:t>
      </w:r>
      <w:r>
        <w:rPr>
          <w:rFonts w:ascii="Arial" w:hAnsi="Arial" w:cs="Arial"/>
          <w:color w:val="373737"/>
          <w:sz w:val="21"/>
          <w:szCs w:val="21"/>
        </w:rPr>
        <w:lastRenderedPageBreak/>
        <w:t>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организацию в соответствии с требованиями санитарных правил качественного горячего питания обучающихся, воспитанников, соответствующего их энергозатратам, с учетом энергетической ценности продуктов и сбалансированности рациона;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12. Требования к мониторингу сформированности культуры здорового и безопасного образа жизни обучающихся, воспитанников содержат: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  <w:proofErr w:type="gramEnd"/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BC6C0C" w:rsidRDefault="00BC6C0C" w:rsidP="00BC6C0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4F28FB" w:rsidRDefault="00BC6C0C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D"/>
    <w:rsid w:val="004326ED"/>
    <w:rsid w:val="00442BBA"/>
    <w:rsid w:val="00BC6C0C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C6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6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6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C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C6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6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6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C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2013-12-27T09:49:00Z</dcterms:created>
  <dcterms:modified xsi:type="dcterms:W3CDTF">2013-12-27T09:49:00Z</dcterms:modified>
</cp:coreProperties>
</file>