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A9" w:rsidRDefault="00CC3BA9" w:rsidP="00CC3BA9">
      <w:pPr>
        <w:pStyle w:val="1"/>
        <w:spacing w:before="0" w:after="75" w:line="330" w:lineRule="atLeast"/>
        <w:rPr>
          <w:rFonts w:ascii="PT Serif" w:hAnsi="PT Serif"/>
          <w:b w:val="0"/>
          <w:bCs w:val="0"/>
          <w:sz w:val="38"/>
          <w:szCs w:val="38"/>
        </w:rPr>
      </w:pPr>
      <w:r>
        <w:rPr>
          <w:rFonts w:ascii="PT Serif" w:hAnsi="PT Serif"/>
          <w:b w:val="0"/>
          <w:bCs w:val="0"/>
          <w:sz w:val="38"/>
          <w:szCs w:val="38"/>
        </w:rPr>
        <w:t>Приказ Министерства образования и науки Российской Федерации (Минобрнауки России) от 4 октября 2010 г. N 986 г. Москва</w:t>
      </w:r>
    </w:p>
    <w:p w:rsidR="00CC3BA9" w:rsidRDefault="00CC3BA9" w:rsidP="00CC3BA9">
      <w:pPr>
        <w:pStyle w:val="2"/>
        <w:spacing w:before="0" w:beforeAutospacing="0" w:after="0" w:afterAutospacing="0" w:line="225" w:lineRule="atLeast"/>
        <w:rPr>
          <w:rFonts w:ascii="PT Serif" w:hAnsi="PT Serif"/>
          <w:b w:val="0"/>
          <w:bCs w:val="0"/>
          <w:sz w:val="23"/>
          <w:szCs w:val="23"/>
        </w:rPr>
      </w:pPr>
      <w:r>
        <w:rPr>
          <w:rFonts w:ascii="PT Serif" w:hAnsi="PT Serif"/>
          <w:b w:val="0"/>
          <w:bCs w:val="0"/>
          <w:sz w:val="23"/>
          <w:szCs w:val="23"/>
        </w:rPr>
        <w:t>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</w:t>
      </w:r>
      <w:r>
        <w:rPr>
          <w:rStyle w:val="apple-converted-space"/>
          <w:rFonts w:ascii="PT Serif" w:hAnsi="PT Serif"/>
          <w:b w:val="0"/>
          <w:bCs w:val="0"/>
          <w:sz w:val="23"/>
          <w:szCs w:val="23"/>
        </w:rPr>
        <w:t> 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Зарегистрирован в Минюсте РФ 3 февраля 2011 г.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Регистрационный N 19682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</w:t>
      </w:r>
      <w:r>
        <w:rPr>
          <w:rStyle w:val="apple-converted-space"/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b/>
          <w:bCs/>
          <w:color w:val="373737"/>
          <w:sz w:val="21"/>
          <w:szCs w:val="21"/>
        </w:rPr>
        <w:t>приказываю: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Утвердить прилагаемые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Министр А. Фурсенко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  <w:u w:val="single"/>
        </w:rPr>
        <w:t>Приложение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Требования включают вопросы по: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комплексному оснащению учебного процесса и оборудованию учебных помещений;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учебно-методическому обеспечению учебного процесса;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материально-техническому оснащению учебного процесса;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информационному обеспечению учебного процесса.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</w:t>
      </w:r>
      <w:r>
        <w:rPr>
          <w:rFonts w:ascii="Arial" w:hAnsi="Arial" w:cs="Arial"/>
          <w:color w:val="373737"/>
          <w:sz w:val="21"/>
          <w:szCs w:val="21"/>
        </w:rPr>
        <w:lastRenderedPageBreak/>
        <w:t>учетом особенностей реализуемых в образовательном учреждении основных и дополнительных образовательных программ;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использования современных образовательных технологий;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эффективной самостоятельной работы обучающихся и воспитанников;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физического развития обучающихся и воспитанников;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Требования к учебно-методическому обеспечению учебного процесса включают: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воспитания обучающихся и воспитанников;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создания материальных объектов, в том числе произведений искусства;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обработки материалов и информации с использованием технологических инструментов;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проектирования и конструирования, в том числе моделей с цифровым управлением и обратной связью;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физического развития обучающихся и воспитанников, участия в спортивных соревнованиях и играх;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проведения массовых мероприятий, собраний, представлений;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6. Требования к информационному обеспечению учебного процесса включают возможность в электронной форме: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управлять учебным процессом;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создавать и редактировать электронные таблицы, тексты и презентации;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формировать и отрабатывать навыки клавиатурного письма;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создавать, обрабатывать и редактировать звук;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создавать, обрабатывать и редактировать растровые, векторные и видеоизображения;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работать с геоинформационными системами, картографической информацией, планами объектов и местности;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визуализировать исторические данные (создавать ленты времени и др.);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CC3BA9" w:rsidRDefault="00CC3BA9" w:rsidP="00CC3BA9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4F28FB" w:rsidRDefault="00CC3BA9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B6"/>
    <w:rsid w:val="00442BBA"/>
    <w:rsid w:val="00B415B6"/>
    <w:rsid w:val="00CC3BA9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C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C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2013-12-27T09:46:00Z</dcterms:created>
  <dcterms:modified xsi:type="dcterms:W3CDTF">2013-12-27T09:46:00Z</dcterms:modified>
</cp:coreProperties>
</file>